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2F41ADFA" w:rsidR="00731946" w:rsidRPr="009F4785" w:rsidRDefault="00B97911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3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B63CEED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B97911">
        <w:rPr>
          <w:color w:val="000000" w:themeColor="text1"/>
          <w:sz w:val="32"/>
          <w:szCs w:val="32"/>
        </w:rPr>
        <w:t>Запасных частей к насосам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09BBCA1E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B97911">
        <w:rPr>
          <w:b/>
          <w:sz w:val="32"/>
          <w:szCs w:val="32"/>
        </w:rPr>
        <w:t>25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B2C261F" w:rsidR="00917BF6" w:rsidRPr="00917BF6" w:rsidRDefault="00917BF6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</w:t>
            </w:r>
            <w:r w:rsidR="00B97911">
              <w:rPr>
                <w:b/>
                <w:color w:val="000000" w:themeColor="text1"/>
                <w:sz w:val="20"/>
              </w:rPr>
              <w:t>13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3989B567" w:rsidR="007C7DEF" w:rsidRPr="009E192C" w:rsidRDefault="00B97911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28.13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4178E39" w:rsidR="00987CF8" w:rsidRPr="00F31E4E" w:rsidRDefault="00F31E4E" w:rsidP="00806C64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806C6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Запасные части к насосам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A21762C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806C6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59825F80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806C64">
              <w:rPr>
                <w:b/>
                <w:sz w:val="20"/>
                <w:szCs w:val="20"/>
              </w:rPr>
              <w:t>132 931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направлять </w:t>
            </w: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7996944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bookmarkStart w:id="32" w:name="_GoBack"/>
            <w:bookmarkEnd w:id="32"/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</w:t>
            </w:r>
            <w:r w:rsidRPr="00DA3C58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6C64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C64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9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6AB8E-FFAA-4CDF-9C4B-57C4433C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14</Pages>
  <Words>4877</Words>
  <Characters>33015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37817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162</cp:revision>
  <cp:lastPrinted>2019-02-04T06:44:00Z</cp:lastPrinted>
  <dcterms:created xsi:type="dcterms:W3CDTF">2019-02-07T06:22:00Z</dcterms:created>
  <dcterms:modified xsi:type="dcterms:W3CDTF">2021-03-02T12:27:00Z</dcterms:modified>
</cp:coreProperties>
</file>